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3AAB" w14:textId="40734763" w:rsidR="00835155" w:rsidRPr="00835155" w:rsidRDefault="00835155">
      <w:pPr>
        <w:rPr>
          <w:rFonts w:ascii="Trebuchet MS" w:hAnsi="Trebuchet MS"/>
          <w:sz w:val="36"/>
          <w:szCs w:val="36"/>
        </w:rPr>
        <w:sectPr w:rsidR="00835155" w:rsidRPr="00835155" w:rsidSect="00AC59D6">
          <w:headerReference w:type="default" r:id="rId9"/>
          <w:headerReference w:type="first" r:id="rId10"/>
          <w:footerReference w:type="first" r:id="rId11"/>
          <w:pgSz w:w="12240" w:h="15840"/>
          <w:pgMar w:top="2448" w:right="1440" w:bottom="1458" w:left="1267" w:header="1440" w:footer="1181" w:gutter="0"/>
          <w:cols w:space="720"/>
          <w:titlePg/>
          <w:docGrid w:linePitch="360"/>
        </w:sectPr>
      </w:pPr>
    </w:p>
    <w:p w14:paraId="1CC8AEA3" w14:textId="17524F8A" w:rsidR="008914B8" w:rsidRPr="008B036D" w:rsidRDefault="008914B8" w:rsidP="008914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 w:rsidRPr="008B036D">
        <w:rPr>
          <w:rFonts w:ascii="Times New Roman" w:hAnsi="Times New Roman" w:cs="Times New Roman"/>
          <w:b/>
          <w:bCs/>
          <w:color w:val="000000"/>
          <w:sz w:val="29"/>
          <w:szCs w:val="29"/>
        </w:rPr>
        <w:t>Public Accessibility to Financial Conflict of Interest Information</w:t>
      </w:r>
    </w:p>
    <w:p w14:paraId="323223D2" w14:textId="39F4996B" w:rsidR="008914B8" w:rsidRPr="008B036D" w:rsidRDefault="008914B8" w:rsidP="00891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>Persons seeking information concerning any Significant Financial Interest related to Public Health Service of the U.S. Department of Health and Human Services</w:t>
      </w:r>
      <w:r w:rsidRPr="008B036D">
        <w:rPr>
          <w:rFonts w:ascii="Times New Roman" w:hAnsi="Times New Roman" w:cs="Times New Roman"/>
          <w:color w:val="000000"/>
          <w:sz w:val="16"/>
          <w:szCs w:val="16"/>
        </w:rPr>
        <w:t xml:space="preserve">1 </w:t>
      </w:r>
      <w:r w:rsidRPr="008B036D">
        <w:rPr>
          <w:rFonts w:ascii="Times New Roman" w:hAnsi="Times New Roman" w:cs="Times New Roman"/>
          <w:color w:val="000000"/>
          <w:sz w:val="24"/>
          <w:szCs w:val="24"/>
        </w:rPr>
        <w:t xml:space="preserve">("PHS")-funded research at Thomas Jefferson University may submit an electronic or mailed request directed to the Coordinator for University Conflicts of </w:t>
      </w:r>
      <w:proofErr w:type="spellStart"/>
      <w:r w:rsidRPr="008B036D">
        <w:rPr>
          <w:rFonts w:ascii="Times New Roman" w:hAnsi="Times New Roman" w:cs="Times New Roman"/>
          <w:color w:val="000000"/>
          <w:sz w:val="24"/>
          <w:szCs w:val="24"/>
        </w:rPr>
        <w:t>lnterest</w:t>
      </w:r>
      <w:proofErr w:type="spellEnd"/>
      <w:r w:rsidRPr="008B036D">
        <w:rPr>
          <w:rFonts w:ascii="Times New Roman" w:hAnsi="Times New Roman" w:cs="Times New Roman"/>
          <w:color w:val="000000"/>
          <w:sz w:val="24"/>
          <w:szCs w:val="24"/>
        </w:rPr>
        <w:t xml:space="preserve"> using the official information request form posted at:</w:t>
      </w:r>
      <w:r w:rsidR="00E7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E740A9" w:rsidRPr="00E740A9">
          <w:rPr>
            <w:rStyle w:val="Hyperlink"/>
            <w:rFonts w:ascii="Times New Roman" w:hAnsi="Times New Roman" w:cs="Times New Roman"/>
            <w:sz w:val="24"/>
            <w:szCs w:val="24"/>
          </w:rPr>
          <w:t>Jefferson Conflicts of Interest.</w:t>
        </w:r>
      </w:hyperlink>
    </w:p>
    <w:p w14:paraId="30193525" w14:textId="77777777" w:rsidR="008914B8" w:rsidRPr="008B036D" w:rsidRDefault="008914B8" w:rsidP="00891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53394A" w14:textId="28DF3AFD" w:rsidR="008914B8" w:rsidRPr="008B036D" w:rsidRDefault="008914B8" w:rsidP="00891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>If a properly submitted written request for information is received by the Coordinator for the University's Conflicts of Interest Committee, and the following three criteria are met:</w:t>
      </w:r>
    </w:p>
    <w:p w14:paraId="6910B6E5" w14:textId="2810A05C" w:rsidR="008914B8" w:rsidRPr="008B036D" w:rsidRDefault="008914B8" w:rsidP="008914B8">
      <w:pPr>
        <w:autoSpaceDE w:val="0"/>
        <w:autoSpaceDN w:val="0"/>
        <w:adjustRightInd w:val="0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>• The Significant Financial Interest was disclosed and is still held by the senior/key personnel for the PHS-funded research project identified by the Institution in the grant application, progress report, or any other required report submitted to the sponsor;</w:t>
      </w:r>
    </w:p>
    <w:p w14:paraId="1D768265" w14:textId="0AE7E840" w:rsidR="008914B8" w:rsidRPr="008B036D" w:rsidRDefault="008914B8" w:rsidP="008914B8">
      <w:pPr>
        <w:autoSpaceDE w:val="0"/>
        <w:autoSpaceDN w:val="0"/>
        <w:adjustRightInd w:val="0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>• The University's Conflicts of Interest Committee has determined that the Significant Financial Interest is related to PHS-funded research; and</w:t>
      </w:r>
    </w:p>
    <w:p w14:paraId="07A60F0A" w14:textId="7DAC8216" w:rsidR="008914B8" w:rsidRPr="008B036D" w:rsidRDefault="008914B8" w:rsidP="008914B8">
      <w:pPr>
        <w:autoSpaceDE w:val="0"/>
        <w:autoSpaceDN w:val="0"/>
        <w:adjustRightInd w:val="0"/>
        <w:ind w:left="36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>• The University's Conflicts of Interest Committee has determined that the Significant Financial Interest is a Financial Conflict of Interest under the University's Conflicts of Interest Policy"</w:t>
      </w:r>
    </w:p>
    <w:p w14:paraId="733A11DB" w14:textId="77777777" w:rsidR="008914B8" w:rsidRPr="008B036D" w:rsidRDefault="008914B8" w:rsidP="008914B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B64EC3" w14:textId="13BD49A0" w:rsidR="008914B8" w:rsidRPr="008B036D" w:rsidRDefault="008914B8" w:rsidP="00891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>The University's Conflicts of Interest Committee will, within five (5) business days of receipt of the written request, issue to the requestor(s) a written Financial Conflict of Interest Information Disclosure letter, which contains the following information:</w:t>
      </w:r>
    </w:p>
    <w:p w14:paraId="21F86F33" w14:textId="437B63DE" w:rsidR="008914B8" w:rsidRPr="008B036D" w:rsidRDefault="008914B8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8B036D">
        <w:rPr>
          <w:rFonts w:ascii="Times New Roman" w:hAnsi="Times New Roman" w:cs="Times New Roman"/>
          <w:color w:val="000000"/>
          <w:sz w:val="24"/>
          <w:szCs w:val="24"/>
        </w:rPr>
        <w:tab/>
        <w:t>Investigator's name;</w:t>
      </w:r>
    </w:p>
    <w:p w14:paraId="52CEC1A1" w14:textId="05C75CFB" w:rsidR="008914B8" w:rsidRPr="008B036D" w:rsidRDefault="008914B8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Pr="008B036D">
        <w:rPr>
          <w:rFonts w:ascii="Times New Roman" w:hAnsi="Times New Roman" w:cs="Times New Roman"/>
          <w:color w:val="000000"/>
          <w:sz w:val="24"/>
          <w:szCs w:val="24"/>
        </w:rPr>
        <w:tab/>
        <w:t>Investigator's title and role with respect to the research project;</w:t>
      </w:r>
    </w:p>
    <w:p w14:paraId="60E72FFA" w14:textId="3E79EDB2" w:rsidR="008914B8" w:rsidRPr="008B036D" w:rsidRDefault="008914B8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 xml:space="preserve">111. </w:t>
      </w:r>
      <w:r w:rsidRPr="008B036D">
        <w:rPr>
          <w:rFonts w:ascii="Times New Roman" w:hAnsi="Times New Roman" w:cs="Times New Roman"/>
          <w:color w:val="000000"/>
          <w:sz w:val="24"/>
          <w:szCs w:val="24"/>
        </w:rPr>
        <w:tab/>
        <w:t>Name of the entity in which the Significant Financial Interest is held;</w:t>
      </w:r>
    </w:p>
    <w:p w14:paraId="202878A4" w14:textId="1E0D93EF" w:rsidR="008914B8" w:rsidRPr="008B036D" w:rsidRDefault="008914B8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r w:rsidRPr="008B036D">
        <w:rPr>
          <w:rFonts w:ascii="Times New Roman" w:hAnsi="Times New Roman" w:cs="Times New Roman"/>
          <w:color w:val="000000"/>
          <w:sz w:val="24"/>
          <w:szCs w:val="24"/>
        </w:rPr>
        <w:tab/>
        <w:t>Nature of the Significant Financial Interest; and</w:t>
      </w:r>
    </w:p>
    <w:p w14:paraId="09F0F75E" w14:textId="18AC8495" w:rsidR="008914B8" w:rsidRPr="008B036D" w:rsidRDefault="008914B8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7123C" w14:textId="663353EC" w:rsidR="008B036D" w:rsidRDefault="008B036D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7738D" w14:textId="3688DADD" w:rsidR="008B036D" w:rsidRDefault="008B036D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126AE" w14:textId="4D75A53F" w:rsidR="008B036D" w:rsidRDefault="008B036D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DD3E8" w14:textId="5DB92878" w:rsidR="008B036D" w:rsidRDefault="008B036D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26E5E" w14:textId="77777777" w:rsidR="008B036D" w:rsidRDefault="008B036D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93DFD9" w14:textId="77777777" w:rsidR="008B036D" w:rsidRPr="008B036D" w:rsidRDefault="008B036D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D95CA" w14:textId="16E97065" w:rsidR="008914B8" w:rsidRPr="008B036D" w:rsidRDefault="008914B8" w:rsidP="008914B8">
      <w:pPr>
        <w:tabs>
          <w:tab w:val="left" w:pos="180"/>
        </w:tabs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8B036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14:paraId="4BA8F7DB" w14:textId="08983E4D" w:rsidR="008914B8" w:rsidRPr="008B036D" w:rsidRDefault="008914B8" w:rsidP="008914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8B036D">
        <w:rPr>
          <w:rFonts w:ascii="Times New Roman" w:hAnsi="Times New Roman" w:cs="Times New Roman"/>
          <w:color w:val="000000"/>
          <w:sz w:val="18"/>
          <w:szCs w:val="18"/>
        </w:rPr>
        <w:t>1 The PHS consists of eight operating agencies that may fund research:</w:t>
      </w:r>
    </w:p>
    <w:p w14:paraId="2C3962F4" w14:textId="6E53D4CA" w:rsidR="008914B8" w:rsidRPr="008B036D" w:rsidRDefault="008914B8" w:rsidP="008914B8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18"/>
          <w:szCs w:val="18"/>
        </w:rPr>
      </w:pPr>
      <w:r w:rsidRPr="008B036D">
        <w:rPr>
          <w:rFonts w:ascii="Times New Roman" w:hAnsi="Times New Roman" w:cs="Times New Roman"/>
          <w:color w:val="000000"/>
          <w:sz w:val="18"/>
          <w:szCs w:val="18"/>
        </w:rPr>
        <w:t>1. Agency for Toxic Substances and Disease (ATSDR)</w:t>
      </w:r>
    </w:p>
    <w:p w14:paraId="3095EEAD" w14:textId="4982399E" w:rsidR="008914B8" w:rsidRPr="008B036D" w:rsidRDefault="008914B8" w:rsidP="008914B8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18"/>
          <w:szCs w:val="18"/>
        </w:rPr>
      </w:pPr>
      <w:r w:rsidRPr="008B036D">
        <w:rPr>
          <w:rFonts w:ascii="Times New Roman" w:hAnsi="Times New Roman" w:cs="Times New Roman"/>
          <w:color w:val="000000"/>
          <w:sz w:val="18"/>
          <w:szCs w:val="18"/>
        </w:rPr>
        <w:t>2. Agency for Healthcare Research and Quality (AHRQ)</w:t>
      </w:r>
    </w:p>
    <w:p w14:paraId="02F239FE" w14:textId="2024B3B9" w:rsidR="008914B8" w:rsidRPr="008B036D" w:rsidRDefault="008914B8" w:rsidP="008914B8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18"/>
          <w:szCs w:val="18"/>
        </w:rPr>
      </w:pPr>
      <w:r w:rsidRPr="008B036D">
        <w:rPr>
          <w:rFonts w:ascii="Times New Roman" w:hAnsi="Times New Roman" w:cs="Times New Roman"/>
          <w:color w:val="000000"/>
          <w:sz w:val="18"/>
          <w:szCs w:val="18"/>
        </w:rPr>
        <w:t>3. Centers for Disease Control and Prevention (CDC)</w:t>
      </w:r>
    </w:p>
    <w:p w14:paraId="21A78244" w14:textId="1EF176C1" w:rsidR="008914B8" w:rsidRPr="008B036D" w:rsidRDefault="008914B8" w:rsidP="008914B8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18"/>
          <w:szCs w:val="18"/>
        </w:rPr>
      </w:pPr>
      <w:r w:rsidRPr="008B036D">
        <w:rPr>
          <w:rFonts w:ascii="Times New Roman" w:hAnsi="Times New Roman" w:cs="Times New Roman"/>
          <w:color w:val="000000"/>
          <w:sz w:val="18"/>
          <w:szCs w:val="18"/>
        </w:rPr>
        <w:t>4. Food and Drug Administration (FDA)</w:t>
      </w:r>
    </w:p>
    <w:p w14:paraId="323D3F00" w14:textId="7DA0E9C8" w:rsidR="008914B8" w:rsidRPr="008B036D" w:rsidRDefault="008914B8" w:rsidP="008914B8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18"/>
          <w:szCs w:val="18"/>
        </w:rPr>
      </w:pPr>
      <w:r w:rsidRPr="008B036D">
        <w:rPr>
          <w:rFonts w:ascii="Times New Roman" w:hAnsi="Times New Roman" w:cs="Times New Roman"/>
          <w:color w:val="000000"/>
          <w:sz w:val="18"/>
          <w:szCs w:val="18"/>
        </w:rPr>
        <w:t>5. Health Resources and Services Administration (HRSA)</w:t>
      </w:r>
    </w:p>
    <w:p w14:paraId="72A6BABD" w14:textId="136937EC" w:rsidR="008914B8" w:rsidRPr="008B036D" w:rsidRDefault="008914B8" w:rsidP="008914B8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18"/>
          <w:szCs w:val="18"/>
        </w:rPr>
      </w:pPr>
      <w:r w:rsidRPr="008B036D">
        <w:rPr>
          <w:rFonts w:ascii="Times New Roman" w:hAnsi="Times New Roman" w:cs="Times New Roman"/>
          <w:color w:val="000000"/>
          <w:sz w:val="18"/>
          <w:szCs w:val="18"/>
        </w:rPr>
        <w:t>6. Indian Health Service (IHS)</w:t>
      </w:r>
    </w:p>
    <w:p w14:paraId="38ADC1E4" w14:textId="6F4C911F" w:rsidR="00FE3420" w:rsidRPr="008B036D" w:rsidRDefault="008914B8" w:rsidP="00FE3420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18"/>
          <w:szCs w:val="18"/>
        </w:rPr>
      </w:pPr>
      <w:r w:rsidRPr="008B036D">
        <w:rPr>
          <w:rFonts w:ascii="Times New Roman" w:hAnsi="Times New Roman" w:cs="Times New Roman"/>
          <w:color w:val="000000"/>
          <w:sz w:val="18"/>
          <w:szCs w:val="18"/>
        </w:rPr>
        <w:t>7. Nati</w:t>
      </w:r>
      <w:r w:rsidR="00FE3420" w:rsidRPr="008B036D">
        <w:rPr>
          <w:rFonts w:ascii="Times New Roman" w:hAnsi="Times New Roman" w:cs="Times New Roman"/>
          <w:color w:val="000000"/>
          <w:sz w:val="18"/>
          <w:szCs w:val="18"/>
        </w:rPr>
        <w:t>onal Institutes of Health (NIH)</w:t>
      </w:r>
    </w:p>
    <w:p w14:paraId="73BB58C6" w14:textId="30C5A410" w:rsidR="00FE3420" w:rsidRDefault="008914B8" w:rsidP="008B036D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1"/>
          <w:szCs w:val="21"/>
        </w:rPr>
      </w:pPr>
      <w:r w:rsidRPr="008B036D">
        <w:rPr>
          <w:rFonts w:ascii="Times New Roman" w:hAnsi="Times New Roman" w:cs="Times New Roman"/>
          <w:color w:val="000000"/>
          <w:sz w:val="18"/>
          <w:szCs w:val="18"/>
        </w:rPr>
        <w:t xml:space="preserve">8. Substance Abuse and Mental Health Services (SAMHSA) </w:t>
      </w:r>
      <w:r w:rsidR="00F75E4D" w:rsidRPr="008B036D">
        <w:rPr>
          <w:rFonts w:ascii="Times New Roman" w:hAnsi="Times New Roman" w:cs="Times New Roman"/>
          <w:sz w:val="18"/>
          <w:szCs w:val="18"/>
        </w:rPr>
        <w:t>Begin typing here…</w:t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18"/>
          <w:szCs w:val="18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  <w:r w:rsidR="00B33CD4" w:rsidRPr="008B036D">
        <w:rPr>
          <w:rFonts w:ascii="Times New Roman" w:hAnsi="Times New Roman" w:cs="Times New Roman"/>
          <w:sz w:val="21"/>
          <w:szCs w:val="21"/>
        </w:rPr>
        <w:tab/>
      </w:r>
    </w:p>
    <w:p w14:paraId="2933D5FA" w14:textId="44A49B55" w:rsidR="008B036D" w:rsidRDefault="008B036D" w:rsidP="008B036D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1"/>
          <w:szCs w:val="21"/>
        </w:rPr>
      </w:pPr>
    </w:p>
    <w:p w14:paraId="79E7D89A" w14:textId="4E6D8C26" w:rsidR="008B036D" w:rsidRDefault="008B036D" w:rsidP="008B036D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1"/>
          <w:szCs w:val="21"/>
        </w:rPr>
      </w:pPr>
    </w:p>
    <w:p w14:paraId="1B755752" w14:textId="79FB134B" w:rsidR="008B036D" w:rsidRDefault="00FE3420" w:rsidP="008B036D">
      <w:pPr>
        <w:kinsoku w:val="0"/>
        <w:overflowPunct w:val="0"/>
        <w:autoSpaceDE w:val="0"/>
        <w:autoSpaceDN w:val="0"/>
        <w:adjustRightInd w:val="0"/>
        <w:spacing w:before="64" w:line="225" w:lineRule="auto"/>
        <w:rPr>
          <w:rFonts w:ascii="Times New Roman" w:hAnsi="Times New Roman" w:cs="Times New Roman"/>
          <w:color w:val="0C0C0C"/>
          <w:spacing w:val="80"/>
          <w:sz w:val="24"/>
          <w:szCs w:val="24"/>
        </w:rPr>
      </w:pPr>
      <w:r w:rsidRPr="008B036D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</w:p>
    <w:p w14:paraId="418860B6" w14:textId="77777777" w:rsidR="008B036D" w:rsidRDefault="008B036D" w:rsidP="00FE3420">
      <w:pPr>
        <w:kinsoku w:val="0"/>
        <w:overflowPunct w:val="0"/>
        <w:autoSpaceDE w:val="0"/>
        <w:autoSpaceDN w:val="0"/>
        <w:adjustRightInd w:val="0"/>
        <w:spacing w:before="64" w:line="225" w:lineRule="auto"/>
        <w:ind w:left="810" w:hanging="542"/>
        <w:rPr>
          <w:rFonts w:ascii="Times New Roman" w:hAnsi="Times New Roman" w:cs="Times New Roman"/>
          <w:color w:val="0C0C0C"/>
          <w:spacing w:val="80"/>
          <w:sz w:val="24"/>
          <w:szCs w:val="24"/>
        </w:rPr>
      </w:pPr>
    </w:p>
    <w:p w14:paraId="31C7DADD" w14:textId="77777777" w:rsidR="008B036D" w:rsidRDefault="008B036D" w:rsidP="00FE3420">
      <w:pPr>
        <w:kinsoku w:val="0"/>
        <w:overflowPunct w:val="0"/>
        <w:autoSpaceDE w:val="0"/>
        <w:autoSpaceDN w:val="0"/>
        <w:adjustRightInd w:val="0"/>
        <w:spacing w:before="64" w:line="225" w:lineRule="auto"/>
        <w:ind w:left="810" w:hanging="542"/>
        <w:rPr>
          <w:rFonts w:ascii="Times New Roman" w:hAnsi="Times New Roman" w:cs="Times New Roman"/>
          <w:color w:val="0C0C0C"/>
          <w:spacing w:val="80"/>
          <w:sz w:val="24"/>
          <w:szCs w:val="24"/>
        </w:rPr>
      </w:pPr>
    </w:p>
    <w:p w14:paraId="5C0CED6D" w14:textId="3957AB40" w:rsidR="00B33CD4" w:rsidRPr="00B33CD4" w:rsidRDefault="008B036D" w:rsidP="008B036D">
      <w:pPr>
        <w:kinsoku w:val="0"/>
        <w:overflowPunct w:val="0"/>
        <w:autoSpaceDE w:val="0"/>
        <w:autoSpaceDN w:val="0"/>
        <w:adjustRightInd w:val="0"/>
        <w:spacing w:before="64" w:line="225" w:lineRule="auto"/>
        <w:ind w:left="450" w:hanging="360"/>
        <w:rPr>
          <w:rFonts w:ascii="Times New Roman" w:hAnsi="Times New Roman" w:cs="Times New Roman"/>
          <w:color w:val="0C0C0C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C0C0C"/>
          <w:spacing w:val="80"/>
          <w:sz w:val="24"/>
          <w:szCs w:val="24"/>
        </w:rPr>
        <w:t>V.</w:t>
      </w:r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>Approximate</w:t>
      </w:r>
      <w:proofErr w:type="spellEnd"/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 xml:space="preserve"> dollar</w:t>
      </w:r>
      <w:r w:rsidR="00B33CD4" w:rsidRPr="00B33CD4">
        <w:rPr>
          <w:rFonts w:ascii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>range of</w:t>
      </w:r>
      <w:r w:rsidR="00B33CD4" w:rsidRPr="00B33CD4">
        <w:rPr>
          <w:rFonts w:ascii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>the</w:t>
      </w:r>
      <w:r w:rsidR="00B33CD4" w:rsidRPr="00B33CD4">
        <w:rPr>
          <w:rFonts w:ascii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>Significant</w:t>
      </w:r>
      <w:r w:rsidR="00B33CD4" w:rsidRPr="00B33CD4">
        <w:rPr>
          <w:rFonts w:ascii="Times New Roman" w:hAnsi="Times New Roman" w:cs="Times New Roman"/>
          <w:color w:val="0C0C0C"/>
          <w:spacing w:val="25"/>
          <w:sz w:val="24"/>
          <w:szCs w:val="24"/>
        </w:rPr>
        <w:t xml:space="preserve"> </w:t>
      </w:r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>Financial Interest (dollar ranges</w:t>
      </w:r>
      <w:r w:rsidR="00B33CD4" w:rsidRPr="00B33CD4">
        <w:rPr>
          <w:rFonts w:ascii="Times New Roman" w:hAnsi="Times New Roman" w:cs="Times New Roman"/>
          <w:color w:val="0C0C0C"/>
          <w:spacing w:val="-1"/>
          <w:sz w:val="24"/>
          <w:szCs w:val="24"/>
        </w:rPr>
        <w:t xml:space="preserve"> </w:t>
      </w:r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>will</w:t>
      </w:r>
      <w:r w:rsidR="00B33CD4" w:rsidRPr="00B33CD4">
        <w:rPr>
          <w:rFonts w:ascii="Times New Roman" w:hAnsi="Times New Roman" w:cs="Times New Roman"/>
          <w:color w:val="0C0C0C"/>
          <w:spacing w:val="-6"/>
          <w:sz w:val="24"/>
          <w:szCs w:val="24"/>
        </w:rPr>
        <w:t xml:space="preserve"> </w:t>
      </w:r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>be</w:t>
      </w:r>
      <w:r w:rsidR="00B33CD4" w:rsidRPr="00B33CD4">
        <w:rPr>
          <w:rFonts w:ascii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>reported</w:t>
      </w:r>
      <w:r w:rsidR="00B33CD4" w:rsidRPr="00B33CD4">
        <w:rPr>
          <w:rFonts w:ascii="Times New Roman" w:hAnsi="Times New Roman" w:cs="Times New Roman"/>
          <w:color w:val="0C0C0C"/>
          <w:spacing w:val="29"/>
          <w:sz w:val="24"/>
          <w:szCs w:val="24"/>
        </w:rPr>
        <w:t xml:space="preserve"> </w:t>
      </w:r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>using the</w:t>
      </w:r>
      <w:r w:rsidR="00B33CD4" w:rsidRPr="00B33CD4">
        <w:rPr>
          <w:rFonts w:ascii="Times New Roman" w:hAnsi="Times New Roman" w:cs="Times New Roman"/>
          <w:color w:val="0C0C0C"/>
          <w:spacing w:val="-6"/>
          <w:sz w:val="24"/>
          <w:szCs w:val="24"/>
        </w:rPr>
        <w:t xml:space="preserve"> </w:t>
      </w:r>
      <w:r w:rsidR="00B33CD4" w:rsidRPr="00B33CD4">
        <w:rPr>
          <w:rFonts w:ascii="Times New Roman" w:hAnsi="Times New Roman" w:cs="Times New Roman"/>
          <w:color w:val="0C0C0C"/>
          <w:sz w:val="24"/>
          <w:szCs w:val="24"/>
        </w:rPr>
        <w:t>following format:</w:t>
      </w:r>
    </w:p>
    <w:p w14:paraId="76FD5087" w14:textId="77777777" w:rsidR="00B33CD4" w:rsidRPr="00B33CD4" w:rsidRDefault="00B33CD4" w:rsidP="00B33CD4">
      <w:pPr>
        <w:kinsoku w:val="0"/>
        <w:overflowPunct w:val="0"/>
        <w:autoSpaceDE w:val="0"/>
        <w:autoSpaceDN w:val="0"/>
        <w:adjustRightInd w:val="0"/>
        <w:spacing w:before="111"/>
        <w:rPr>
          <w:rFonts w:ascii="Times New Roman" w:hAnsi="Times New Roman" w:cs="Times New Roman"/>
          <w:sz w:val="24"/>
          <w:szCs w:val="24"/>
        </w:rPr>
      </w:pPr>
    </w:p>
    <w:p w14:paraId="6F073464" w14:textId="7CB3AD44" w:rsidR="00B33CD4" w:rsidRPr="00B33CD4" w:rsidRDefault="00B33CD4" w:rsidP="00B33CD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71C928" w14:textId="2B77D0BA" w:rsidR="00B33CD4" w:rsidRPr="00B33CD4" w:rsidRDefault="00B33CD4" w:rsidP="00B33CD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B036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4AC4A66" wp14:editId="49761906">
                <wp:extent cx="2811780" cy="1452880"/>
                <wp:effectExtent l="0" t="0" r="7620" b="1397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05"/>
                              <w:gridCol w:w="2340"/>
                            </w:tblGrid>
                            <w:tr w:rsidR="00B33CD4" w14:paraId="30F2F250" w14:textId="77777777" w:rsidTr="00B33CD4">
                              <w:trPr>
                                <w:trHeight w:val="268"/>
                              </w:trPr>
                              <w:tc>
                                <w:tcPr>
                                  <w:tcW w:w="2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07B367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8" w:lineRule="exact"/>
                                    <w:ind w:left="128"/>
                                    <w:rPr>
                                      <w:color w:val="0C0C0C"/>
                                    </w:rPr>
                                  </w:pPr>
                                  <w:r>
                                    <w:rPr>
                                      <w:color w:val="0C0C0C"/>
                                    </w:rPr>
                                    <w:t>Dollar Range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F8E195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8" w:lineRule="exact"/>
                                    <w:ind w:left="168"/>
                                    <w:rPr>
                                      <w:color w:val="0C0C0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color w:val="0C0C0C"/>
                                      <w:spacing w:val="-2"/>
                                    </w:rPr>
                                    <w:t>Increments</w:t>
                                  </w:r>
                                </w:p>
                              </w:tc>
                            </w:tr>
                            <w:tr w:rsidR="00B33CD4" w14:paraId="77C53D45" w14:textId="77777777" w:rsidTr="00B33CD4">
                              <w:trPr>
                                <w:trHeight w:val="263"/>
                              </w:trPr>
                              <w:tc>
                                <w:tcPr>
                                  <w:tcW w:w="2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46B117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8" w:lineRule="exact"/>
                                    <w:ind w:left="124"/>
                                    <w:rPr>
                                      <w:color w:val="0C0C0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color w:val="0C0C0C"/>
                                      <w:spacing w:val="-2"/>
                                    </w:rPr>
                                    <w:t>$0-$4,999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1C4664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33CD4" w14:paraId="14D1C3D9" w14:textId="77777777" w:rsidTr="00B33CD4">
                              <w:trPr>
                                <w:trHeight w:val="282"/>
                              </w:trPr>
                              <w:tc>
                                <w:tcPr>
                                  <w:tcW w:w="2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1C8C98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-1"/>
                                    <w:rPr>
                                      <w:color w:val="0C0C0C"/>
                                      <w:position w:val="-7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0C0C0C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0C0C0C"/>
                                    </w:rPr>
                                    <w:t xml:space="preserve">$5,000-$9,999 </w:t>
                                  </w:r>
                                  <w:r w:rsidRPr="00B33CD4">
                                    <w:rPr>
                                      <w:color w:val="0C0C0C"/>
                                      <w:bdr w:val="single" w:sz="4" w:space="0" w:color="auto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C8330" w14:textId="37B53770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2" w:lineRule="exact"/>
                                    <w:ind w:left="-1"/>
                                    <w:rPr>
                                      <w:color w:val="0C0C0C"/>
                                      <w:position w:val="-7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B33CD4" w14:paraId="5F1E39D3" w14:textId="77777777" w:rsidTr="00B33CD4">
                              <w:trPr>
                                <w:trHeight w:val="265"/>
                              </w:trPr>
                              <w:tc>
                                <w:tcPr>
                                  <w:tcW w:w="2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531587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0" w:lineRule="exact"/>
                                    <w:rPr>
                                      <w:color w:val="0C0C0C"/>
                                    </w:rPr>
                                  </w:pPr>
                                  <w:r>
                                    <w:rPr>
                                      <w:color w:val="0C0C0C"/>
                                    </w:rPr>
                                    <w:t>$10,000 - $19,999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46DB0A3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33CD4" w14:paraId="1E2503C8" w14:textId="77777777" w:rsidTr="00B33CD4">
                              <w:trPr>
                                <w:trHeight w:val="534"/>
                              </w:trPr>
                              <w:tc>
                                <w:tcPr>
                                  <w:tcW w:w="2005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259D40FA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8" w:lineRule="exact"/>
                                    <w:rPr>
                                      <w:color w:val="0C0C0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color w:val="0C0C0C"/>
                                      <w:spacing w:val="-2"/>
                                    </w:rPr>
                                    <w:t>$20,000-$100,000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CD26AD3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7" w:lineRule="exact"/>
                                    <w:ind w:left="115"/>
                                    <w:rPr>
                                      <w:color w:val="0C0C0C"/>
                                    </w:rPr>
                                  </w:pPr>
                                  <w:r>
                                    <w:rPr>
                                      <w:color w:val="0C0C0C"/>
                                    </w:rPr>
                                    <w:t>by increments of</w:t>
                                  </w:r>
                                </w:p>
                                <w:p w14:paraId="4F58D660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5" w:lineRule="exact"/>
                                    <w:rPr>
                                      <w:color w:val="262626"/>
                                      <w:spacing w:val="-2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2"/>
                                    </w:rPr>
                                    <w:t>$20,000</w:t>
                                  </w:r>
                                </w:p>
                              </w:tc>
                            </w:tr>
                            <w:tr w:rsidR="00B33CD4" w14:paraId="056E141B" w14:textId="77777777" w:rsidTr="00B33CD4">
                              <w:trPr>
                                <w:trHeight w:val="536"/>
                              </w:trPr>
                              <w:tc>
                                <w:tcPr>
                                  <w:tcW w:w="2005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shd w:val="clear" w:color="auto" w:fill="DADADA"/>
                                </w:tcPr>
                                <w:p w14:paraId="0D0EE082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5" w:lineRule="exact"/>
                                    <w:ind w:left="121"/>
                                    <w:rPr>
                                      <w:color w:val="0C0C0C"/>
                                    </w:rPr>
                                  </w:pPr>
                                  <w:r>
                                    <w:rPr>
                                      <w:color w:val="0C0C0C"/>
                                    </w:rPr>
                                    <w:t>amounts above</w:t>
                                  </w:r>
                                </w:p>
                                <w:p w14:paraId="0EC78E55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5" w:lineRule="exact"/>
                                    <w:rPr>
                                      <w:color w:val="0C0C0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color w:val="0C0C0C"/>
                                      <w:spacing w:val="-2"/>
                                    </w:rPr>
                                    <w:t>$100,000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shd w:val="clear" w:color="auto" w:fill="DADADA"/>
                                </w:tcPr>
                                <w:p w14:paraId="18AC01B6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7" w:lineRule="exact"/>
                                    <w:ind w:left="120"/>
                                    <w:rPr>
                                      <w:color w:val="0C0C0C"/>
                                    </w:rPr>
                                  </w:pPr>
                                  <w:r>
                                    <w:rPr>
                                      <w:color w:val="0C0C0C"/>
                                    </w:rPr>
                                    <w:t>by increments</w:t>
                                  </w:r>
                                  <w:r>
                                    <w:rPr>
                                      <w:color w:val="0C0C0C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C0C0C"/>
                                    </w:rPr>
                                    <w:t>of</w:t>
                                  </w:r>
                                </w:p>
                                <w:p w14:paraId="19CA6AC0" w14:textId="77777777" w:rsidR="00B33CD4" w:rsidRDefault="00B33CD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rPr>
                                      <w:color w:val="262626"/>
                                      <w:spacing w:val="-2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2"/>
                                    </w:rPr>
                                    <w:t>$50,000</w:t>
                                  </w:r>
                                </w:p>
                              </w:tc>
                            </w:tr>
                          </w:tbl>
                          <w:p w14:paraId="6B0606CE" w14:textId="77777777" w:rsidR="00B33CD4" w:rsidRDefault="00B33CD4" w:rsidP="00B33CD4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AC4A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21.4pt;height:1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05"/>
                        <w:gridCol w:w="2340"/>
                      </w:tblGrid>
                      <w:tr w:rsidR="00B33CD4" w14:paraId="30F2F250" w14:textId="77777777" w:rsidTr="00B33CD4">
                        <w:trPr>
                          <w:trHeight w:val="268"/>
                        </w:trPr>
                        <w:tc>
                          <w:tcPr>
                            <w:tcW w:w="20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07B367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38" w:lineRule="exact"/>
                              <w:ind w:left="128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Dollar Range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F8E195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38" w:lineRule="exact"/>
                              <w:ind w:left="168"/>
                              <w:rPr>
                                <w:color w:val="0C0C0C"/>
                                <w:spacing w:val="-2"/>
                              </w:rPr>
                            </w:pPr>
                            <w:r>
                              <w:rPr>
                                <w:color w:val="0C0C0C"/>
                                <w:spacing w:val="-2"/>
                              </w:rPr>
                              <w:t>Increments</w:t>
                            </w:r>
                          </w:p>
                        </w:tc>
                      </w:tr>
                      <w:tr w:rsidR="00B33CD4" w14:paraId="77C53D45" w14:textId="77777777" w:rsidTr="00B33CD4">
                        <w:trPr>
                          <w:trHeight w:val="263"/>
                        </w:trPr>
                        <w:tc>
                          <w:tcPr>
                            <w:tcW w:w="20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46B117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38" w:lineRule="exact"/>
                              <w:ind w:left="124"/>
                              <w:rPr>
                                <w:color w:val="0C0C0C"/>
                                <w:spacing w:val="-2"/>
                              </w:rPr>
                            </w:pPr>
                            <w:r>
                              <w:rPr>
                                <w:color w:val="0C0C0C"/>
                                <w:spacing w:val="-2"/>
                              </w:rPr>
                              <w:t>$0-$4,999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1C4664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33CD4" w14:paraId="14D1C3D9" w14:textId="77777777" w:rsidTr="00B33CD4">
                        <w:trPr>
                          <w:trHeight w:val="282"/>
                        </w:trPr>
                        <w:tc>
                          <w:tcPr>
                            <w:tcW w:w="20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1C8C98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-1"/>
                              <w:rPr>
                                <w:color w:val="0C0C0C"/>
                                <w:position w:val="-7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C0C0C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color w:val="0C0C0C"/>
                              </w:rPr>
                              <w:t xml:space="preserve">$5,000-$9,999 </w:t>
                            </w:r>
                            <w:r w:rsidRPr="00B33CD4">
                              <w:rPr>
                                <w:color w:val="0C0C0C"/>
                                <w:bdr w:val="single" w:sz="4" w:space="0" w:color="auto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C8330" w14:textId="37B53770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62" w:lineRule="exact"/>
                              <w:ind w:left="-1"/>
                              <w:rPr>
                                <w:color w:val="0C0C0C"/>
                                <w:position w:val="-7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B33CD4" w14:paraId="5F1E39D3" w14:textId="77777777" w:rsidTr="00B33CD4">
                        <w:trPr>
                          <w:trHeight w:val="265"/>
                        </w:trPr>
                        <w:tc>
                          <w:tcPr>
                            <w:tcW w:w="20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531587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20" w:lineRule="exact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$10,000 - $19,999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46DB0A3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33CD4" w14:paraId="1E2503C8" w14:textId="77777777" w:rsidTr="00B33CD4">
                        <w:trPr>
                          <w:trHeight w:val="534"/>
                        </w:trPr>
                        <w:tc>
                          <w:tcPr>
                            <w:tcW w:w="2005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259D40FA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18" w:lineRule="exact"/>
                              <w:rPr>
                                <w:color w:val="0C0C0C"/>
                                <w:spacing w:val="-2"/>
                              </w:rPr>
                            </w:pPr>
                            <w:r>
                              <w:rPr>
                                <w:color w:val="0C0C0C"/>
                                <w:spacing w:val="-2"/>
                              </w:rPr>
                              <w:t>$20,000-$100,000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CD26AD3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17" w:lineRule="exact"/>
                              <w:ind w:left="115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by increments of</w:t>
                            </w:r>
                          </w:p>
                          <w:p w14:paraId="4F58D660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75" w:lineRule="exact"/>
                              <w:rPr>
                                <w:color w:val="262626"/>
                                <w:spacing w:val="-2"/>
                              </w:rPr>
                            </w:pPr>
                            <w:r>
                              <w:rPr>
                                <w:color w:val="262626"/>
                                <w:spacing w:val="-2"/>
                              </w:rPr>
                              <w:t>$20,000</w:t>
                            </w:r>
                          </w:p>
                        </w:tc>
                      </w:tr>
                      <w:tr w:rsidR="00B33CD4" w14:paraId="056E141B" w14:textId="77777777" w:rsidTr="00B33CD4">
                        <w:trPr>
                          <w:trHeight w:val="536"/>
                        </w:trPr>
                        <w:tc>
                          <w:tcPr>
                            <w:tcW w:w="2005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shd w:val="clear" w:color="auto" w:fill="DADADA"/>
                          </w:tcPr>
                          <w:p w14:paraId="0D0EE082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25" w:lineRule="exact"/>
                              <w:ind w:left="121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amounts above</w:t>
                            </w:r>
                          </w:p>
                          <w:p w14:paraId="0EC78E55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65" w:lineRule="exact"/>
                              <w:rPr>
                                <w:color w:val="0C0C0C"/>
                                <w:spacing w:val="-2"/>
                              </w:rPr>
                            </w:pPr>
                            <w:r>
                              <w:rPr>
                                <w:color w:val="0C0C0C"/>
                                <w:spacing w:val="-2"/>
                              </w:rPr>
                              <w:t>$100,000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shd w:val="clear" w:color="auto" w:fill="DADADA"/>
                          </w:tcPr>
                          <w:p w14:paraId="18AC01B6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27" w:lineRule="exact"/>
                              <w:ind w:left="120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by increments</w:t>
                            </w:r>
                            <w:r>
                              <w:rPr>
                                <w:color w:val="0C0C0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of</w:t>
                            </w:r>
                          </w:p>
                          <w:p w14:paraId="19CA6AC0" w14:textId="77777777" w:rsidR="00B33CD4" w:rsidRDefault="00B33CD4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rPr>
                                <w:color w:val="262626"/>
                                <w:spacing w:val="-2"/>
                              </w:rPr>
                            </w:pPr>
                            <w:r>
                              <w:rPr>
                                <w:color w:val="262626"/>
                                <w:spacing w:val="-2"/>
                              </w:rPr>
                              <w:t>$50,000</w:t>
                            </w:r>
                          </w:p>
                        </w:tc>
                      </w:tr>
                    </w:tbl>
                    <w:p w14:paraId="6B0606CE" w14:textId="77777777" w:rsidR="00B33CD4" w:rsidRDefault="00B33CD4" w:rsidP="00B33CD4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3EBB80" w14:textId="58A38164" w:rsidR="00B33CD4" w:rsidRPr="00B33CD4" w:rsidRDefault="00B33CD4" w:rsidP="00FE3420">
      <w:pPr>
        <w:kinsoku w:val="0"/>
        <w:overflowPunct w:val="0"/>
        <w:autoSpaceDE w:val="0"/>
        <w:autoSpaceDN w:val="0"/>
        <w:adjustRightInd w:val="0"/>
        <w:spacing w:line="463" w:lineRule="auto"/>
        <w:ind w:left="3336" w:right="6049"/>
        <w:rPr>
          <w:rFonts w:ascii="Times New Roman" w:hAnsi="Times New Roman" w:cs="Times New Roman"/>
          <w:color w:val="0C0C0C"/>
          <w:spacing w:val="-2"/>
          <w:w w:val="40"/>
          <w:sz w:val="13"/>
          <w:szCs w:val="13"/>
        </w:rPr>
      </w:pPr>
    </w:p>
    <w:p w14:paraId="1BAC11A5" w14:textId="77777777" w:rsidR="00B33CD4" w:rsidRPr="00B33CD4" w:rsidRDefault="00B33CD4" w:rsidP="00B33CD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13"/>
          <w:szCs w:val="13"/>
        </w:rPr>
      </w:pPr>
    </w:p>
    <w:p w14:paraId="332D9FE3" w14:textId="77777777" w:rsidR="00B33CD4" w:rsidRPr="00B33CD4" w:rsidRDefault="00B33CD4" w:rsidP="00B33CD4">
      <w:pPr>
        <w:kinsoku w:val="0"/>
        <w:overflowPunct w:val="0"/>
        <w:autoSpaceDE w:val="0"/>
        <w:autoSpaceDN w:val="0"/>
        <w:adjustRightInd w:val="0"/>
        <w:spacing w:before="1" w:line="235" w:lineRule="auto"/>
        <w:ind w:left="103" w:firstLine="722"/>
        <w:rPr>
          <w:rFonts w:ascii="Times New Roman" w:hAnsi="Times New Roman" w:cs="Times New Roman"/>
          <w:color w:val="0C0C0C"/>
          <w:sz w:val="24"/>
          <w:szCs w:val="24"/>
        </w:rPr>
      </w:pPr>
      <w:r w:rsidRPr="00B33CD4">
        <w:rPr>
          <w:rFonts w:ascii="Times New Roman" w:hAnsi="Times New Roman" w:cs="Times New Roman"/>
          <w:color w:val="0C0C0C"/>
          <w:sz w:val="24"/>
          <w:szCs w:val="24"/>
        </w:rPr>
        <w:t>The</w:t>
      </w:r>
      <w:r w:rsidRPr="00B33CD4">
        <w:rPr>
          <w:rFonts w:ascii="Times New Roman" w:hAnsi="Times New Roman" w:cs="Times New Roman"/>
          <w:color w:val="0C0C0C"/>
          <w:spacing w:val="-1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Conflicts of</w:t>
      </w:r>
      <w:r w:rsidRPr="00B33CD4">
        <w:rPr>
          <w:rFonts w:ascii="Times New Roman" w:hAnsi="Times New Roman" w:cs="Times New Roman"/>
          <w:color w:val="0C0C0C"/>
          <w:spacing w:val="-11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Interest Committee will</w:t>
      </w:r>
      <w:r w:rsidRPr="00B33CD4">
        <w:rPr>
          <w:rFonts w:ascii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not assign</w:t>
      </w:r>
      <w:r w:rsidRPr="00B33CD4">
        <w:rPr>
          <w:rFonts w:ascii="Times New Roman" w:hAnsi="Times New Roman" w:cs="Times New Roman"/>
          <w:color w:val="0C0C0C"/>
          <w:spacing w:val="-10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a</w:t>
      </w:r>
      <w:r w:rsidRPr="00B33CD4">
        <w:rPr>
          <w:rFonts w:ascii="Times New Roman" w:hAnsi="Times New Roman" w:cs="Times New Roman"/>
          <w:color w:val="0C0C0C"/>
          <w:spacing w:val="-11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dollar</w:t>
      </w:r>
      <w:r w:rsidRPr="00B33CD4">
        <w:rPr>
          <w:rFonts w:ascii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range</w:t>
      </w:r>
      <w:r w:rsidRPr="00B33CD4">
        <w:rPr>
          <w:rFonts w:ascii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value</w:t>
      </w:r>
      <w:r w:rsidRPr="00B33CD4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to</w:t>
      </w:r>
      <w:r w:rsidRPr="00B33CD4">
        <w:rPr>
          <w:rFonts w:ascii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a</w:t>
      </w:r>
      <w:r w:rsidRPr="00B33CD4">
        <w:rPr>
          <w:rFonts w:ascii="Times New Roman" w:hAnsi="Times New Roman" w:cs="Times New Roman"/>
          <w:color w:val="0C0C0C"/>
          <w:spacing w:val="-21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Significant</w:t>
      </w:r>
      <w:r w:rsidRPr="00B33CD4">
        <w:rPr>
          <w:rFonts w:ascii="Times New Roman" w:hAnsi="Times New Roman" w:cs="Times New Roman"/>
          <w:color w:val="0C0C0C"/>
          <w:spacing w:val="-10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Financial</w:t>
      </w:r>
      <w:r w:rsidRPr="00B33CD4">
        <w:rPr>
          <w:rFonts w:ascii="Times New Roman" w:hAnsi="Times New Roman" w:cs="Times New Roman"/>
          <w:color w:val="0C0C0C"/>
          <w:spacing w:val="26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Interest if</w:t>
      </w:r>
      <w:r w:rsidRPr="00B33CD4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it</w:t>
      </w:r>
      <w:r w:rsidRPr="00B33CD4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cannot</w:t>
      </w:r>
      <w:r w:rsidRPr="00B33CD4">
        <w:rPr>
          <w:rFonts w:ascii="Times New Roman" w:hAnsi="Times New Roman" w:cs="Times New Roman"/>
          <w:color w:val="0C0C0C"/>
          <w:spacing w:val="11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readily determine the</w:t>
      </w:r>
      <w:r w:rsidRPr="00B33CD4">
        <w:rPr>
          <w:rFonts w:ascii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value</w:t>
      </w:r>
      <w:r w:rsidRPr="00B33CD4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of the</w:t>
      </w:r>
      <w:r w:rsidRPr="00B33CD4">
        <w:rPr>
          <w:rFonts w:ascii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Significant</w:t>
      </w:r>
      <w:r w:rsidRPr="00B33CD4">
        <w:rPr>
          <w:rFonts w:ascii="Times New Roman" w:hAnsi="Times New Roman" w:cs="Times New Roman"/>
          <w:color w:val="0C0C0C"/>
          <w:spacing w:val="1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Financial Interest</w:t>
      </w:r>
      <w:r w:rsidRPr="00B33CD4">
        <w:rPr>
          <w:rFonts w:ascii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through reference to</w:t>
      </w:r>
      <w:r w:rsidRPr="00B33CD4">
        <w:rPr>
          <w:rFonts w:ascii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public</w:t>
      </w:r>
      <w:r w:rsidRPr="00B33CD4">
        <w:rPr>
          <w:rFonts w:ascii="Times New Roman" w:hAnsi="Times New Roman" w:cs="Times New Roman"/>
          <w:color w:val="0C0C0C"/>
          <w:spacing w:val="11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prices or</w:t>
      </w:r>
      <w:r w:rsidRPr="00B33CD4">
        <w:rPr>
          <w:rFonts w:ascii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other</w:t>
      </w:r>
      <w:r w:rsidRPr="00B33CD4">
        <w:rPr>
          <w:rFonts w:ascii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reasonable</w:t>
      </w:r>
      <w:r w:rsidRPr="00B33CD4">
        <w:rPr>
          <w:rFonts w:ascii="Times New Roman" w:hAnsi="Times New Roman" w:cs="Times New Roman"/>
          <w:color w:val="0C0C0C"/>
          <w:spacing w:val="27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measures of fair</w:t>
      </w:r>
      <w:r w:rsidRPr="00B33CD4">
        <w:rPr>
          <w:rFonts w:ascii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market</w:t>
      </w:r>
      <w:r w:rsidRPr="00B33CD4">
        <w:rPr>
          <w:rFonts w:ascii="Times New Roman" w:hAnsi="Times New Roman" w:cs="Times New Roman"/>
          <w:color w:val="0C0C0C"/>
          <w:spacing w:val="11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value.</w:t>
      </w:r>
    </w:p>
    <w:p w14:paraId="785BA319" w14:textId="77777777" w:rsidR="00B33CD4" w:rsidRPr="00B33CD4" w:rsidRDefault="00B33CD4" w:rsidP="00B33CD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E8CFBE7" w14:textId="77777777" w:rsidR="00B33CD4" w:rsidRPr="00B33CD4" w:rsidRDefault="00B33CD4" w:rsidP="00B33CD4">
      <w:pPr>
        <w:kinsoku w:val="0"/>
        <w:overflowPunct w:val="0"/>
        <w:autoSpaceDE w:val="0"/>
        <w:autoSpaceDN w:val="0"/>
        <w:adjustRightInd w:val="0"/>
        <w:spacing w:line="235" w:lineRule="auto"/>
        <w:ind w:left="101" w:right="414" w:firstLine="724"/>
        <w:rPr>
          <w:rFonts w:ascii="Times New Roman" w:hAnsi="Times New Roman" w:cs="Times New Roman"/>
          <w:color w:val="0C0C0C"/>
          <w:sz w:val="24"/>
          <w:szCs w:val="24"/>
        </w:rPr>
      </w:pPr>
      <w:r w:rsidRPr="00B33CD4">
        <w:rPr>
          <w:rFonts w:ascii="Times New Roman" w:hAnsi="Times New Roman" w:cs="Times New Roman"/>
          <w:color w:val="0C0C0C"/>
          <w:sz w:val="24"/>
          <w:szCs w:val="24"/>
        </w:rPr>
        <w:t>Transmit</w:t>
      </w:r>
      <w:r w:rsidRPr="00B33CD4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all</w:t>
      </w:r>
      <w:r w:rsidRPr="00B33CD4">
        <w:rPr>
          <w:rFonts w:ascii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requests for</w:t>
      </w:r>
      <w:r w:rsidRPr="00B33CD4">
        <w:rPr>
          <w:rFonts w:ascii="Times New Roman" w:hAnsi="Times New Roman" w:cs="Times New Roman"/>
          <w:color w:val="0C0C0C"/>
          <w:spacing w:val="-12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disclosure of information</w:t>
      </w:r>
      <w:r w:rsidRPr="00B33CD4">
        <w:rPr>
          <w:rFonts w:ascii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concerning</w:t>
      </w:r>
      <w:r w:rsidRPr="00B33CD4">
        <w:rPr>
          <w:rFonts w:ascii="Times New Roman" w:hAnsi="Times New Roman" w:cs="Times New Roman"/>
          <w:color w:val="0C0C0C"/>
          <w:spacing w:val="22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a</w:t>
      </w:r>
      <w:r w:rsidRPr="00B33CD4">
        <w:rPr>
          <w:rFonts w:ascii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Significant</w:t>
      </w:r>
      <w:r w:rsidRPr="00B33CD4">
        <w:rPr>
          <w:rFonts w:ascii="Times New Roman" w:hAnsi="Times New Roman" w:cs="Times New Roman"/>
          <w:color w:val="0C0C0C"/>
          <w:spacing w:val="1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Financial</w:t>
      </w:r>
      <w:r w:rsidRPr="00B33CD4">
        <w:rPr>
          <w:rFonts w:ascii="Times New Roman" w:hAnsi="Times New Roman" w:cs="Times New Roman"/>
          <w:color w:val="0C0C0C"/>
          <w:spacing w:val="-10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Interest related to</w:t>
      </w:r>
      <w:r w:rsidRPr="00B33CD4">
        <w:rPr>
          <w:rFonts w:ascii="Times New Roman" w:hAnsi="Times New Roman" w:cs="Times New Roman"/>
          <w:color w:val="0C0C0C"/>
          <w:spacing w:val="-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PHS-funded</w:t>
      </w:r>
      <w:r w:rsidRPr="00B33CD4">
        <w:rPr>
          <w:rFonts w:ascii="Times New Roman" w:hAnsi="Times New Roman" w:cs="Times New Roman"/>
          <w:color w:val="0C0C0C"/>
          <w:spacing w:val="27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research at Thomas Jefferson University to:</w:t>
      </w:r>
    </w:p>
    <w:p w14:paraId="65E3A7AF" w14:textId="77777777" w:rsidR="00826C8E" w:rsidRDefault="00826C8E" w:rsidP="00826C8E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C0C0C"/>
          <w:sz w:val="24"/>
          <w:szCs w:val="24"/>
        </w:rPr>
      </w:pPr>
    </w:p>
    <w:p w14:paraId="31A8B6A5" w14:textId="711FA401" w:rsidR="00B33CD4" w:rsidRPr="00B33CD4" w:rsidRDefault="00826C8E" w:rsidP="00826C8E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C0C0C"/>
          <w:sz w:val="24"/>
          <w:szCs w:val="24"/>
        </w:rPr>
      </w:pPr>
      <w:r>
        <w:rPr>
          <w:rFonts w:ascii="Times New Roman" w:hAnsi="Times New Roman" w:cs="Times New Roman"/>
          <w:color w:val="0C0C0C"/>
          <w:sz w:val="24"/>
          <w:szCs w:val="24"/>
        </w:rPr>
        <w:t>Office of Enterprise Corporate Compliance</w:t>
      </w:r>
    </w:p>
    <w:p w14:paraId="6228858F" w14:textId="77777777" w:rsidR="00826C8E" w:rsidRPr="00826C8E" w:rsidRDefault="00826C8E" w:rsidP="00826C8E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C0C0C"/>
          <w:sz w:val="24"/>
          <w:szCs w:val="24"/>
        </w:rPr>
      </w:pPr>
      <w:r w:rsidRPr="00826C8E">
        <w:rPr>
          <w:rFonts w:ascii="Times New Roman" w:hAnsi="Times New Roman" w:cs="Times New Roman"/>
          <w:color w:val="0C0C0C"/>
          <w:sz w:val="24"/>
          <w:szCs w:val="24"/>
        </w:rPr>
        <w:t>1101 Market Street</w:t>
      </w:r>
    </w:p>
    <w:p w14:paraId="785152AD" w14:textId="71B613B9" w:rsidR="00FE3420" w:rsidRPr="00B33CD4" w:rsidRDefault="00826C8E" w:rsidP="00826C8E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6C8E">
        <w:rPr>
          <w:rFonts w:ascii="Times New Roman" w:hAnsi="Times New Roman" w:cs="Times New Roman"/>
          <w:color w:val="0C0C0C"/>
          <w:sz w:val="24"/>
          <w:szCs w:val="24"/>
        </w:rPr>
        <w:t>Philadelphia, PA 19107</w:t>
      </w:r>
      <w:r w:rsidRPr="00826C8E">
        <w:rPr>
          <w:rFonts w:ascii="Times New Roman" w:hAnsi="Times New Roman" w:cs="Times New Roman"/>
          <w:color w:val="0C0C0C"/>
          <w:sz w:val="24"/>
          <w:szCs w:val="24"/>
        </w:rPr>
        <w:br/>
      </w:r>
    </w:p>
    <w:p w14:paraId="6FDB2B82" w14:textId="2D005E22" w:rsidR="00B33CD4" w:rsidRPr="00B33CD4" w:rsidRDefault="00B33CD4" w:rsidP="00B33CD4">
      <w:pPr>
        <w:kinsoku w:val="0"/>
        <w:overflowPunct w:val="0"/>
        <w:autoSpaceDE w:val="0"/>
        <w:autoSpaceDN w:val="0"/>
        <w:adjustRightInd w:val="0"/>
        <w:spacing w:line="273" w:lineRule="auto"/>
        <w:ind w:left="101" w:right="91"/>
        <w:rPr>
          <w:rFonts w:ascii="Times New Roman" w:hAnsi="Times New Roman" w:cs="Times New Roman"/>
          <w:b/>
          <w:bCs/>
          <w:color w:val="0C0C0C"/>
          <w:sz w:val="24"/>
          <w:szCs w:val="24"/>
        </w:rPr>
      </w:pPr>
      <w:r w:rsidRPr="00B33CD4">
        <w:rPr>
          <w:rFonts w:ascii="Times New Roman" w:hAnsi="Times New Roman" w:cs="Times New Roman"/>
          <w:color w:val="0C0C0C"/>
          <w:sz w:val="24"/>
          <w:szCs w:val="24"/>
        </w:rPr>
        <w:t>Electronic</w:t>
      </w:r>
      <w:r w:rsidRPr="00B33CD4">
        <w:rPr>
          <w:rFonts w:ascii="Times New Roman" w:hAnsi="Times New Roman" w:cs="Times New Roman"/>
          <w:color w:val="0C0C0C"/>
          <w:spacing w:val="72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requests</w:t>
      </w:r>
      <w:r w:rsidRPr="00B33CD4">
        <w:rPr>
          <w:rFonts w:ascii="Times New Roman" w:hAnsi="Times New Roman" w:cs="Times New Roman"/>
          <w:color w:val="0C0C0C"/>
          <w:spacing w:val="78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may</w:t>
      </w:r>
      <w:r w:rsidRPr="00B33CD4">
        <w:rPr>
          <w:rFonts w:ascii="Times New Roman" w:hAnsi="Times New Roman" w:cs="Times New Roman"/>
          <w:color w:val="0C0C0C"/>
          <w:spacing w:val="6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be</w:t>
      </w:r>
      <w:r w:rsidRPr="00B33CD4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emailed</w:t>
      </w:r>
      <w:r w:rsidRPr="00B33CD4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to</w:t>
      </w:r>
      <w:r w:rsidRPr="00B33CD4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the</w:t>
      </w:r>
      <w:r w:rsidRPr="00B33CD4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COI</w:t>
      </w:r>
      <w:r w:rsidRPr="00B33CD4">
        <w:rPr>
          <w:rFonts w:ascii="Times New Roman" w:hAnsi="Times New Roman" w:cs="Times New Roman"/>
          <w:color w:val="0C0C0C"/>
          <w:spacing w:val="73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Administrator</w:t>
      </w:r>
      <w:r w:rsidRPr="00B33CD4">
        <w:rPr>
          <w:rFonts w:ascii="Times New Roman" w:hAnsi="Times New Roman" w:cs="Times New Roman"/>
          <w:color w:val="0C0C0C"/>
          <w:spacing w:val="79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 xml:space="preserve">at </w:t>
      </w:r>
      <w:hyperlink r:id="rId13" w:tgtFrame="_parent" w:history="1">
        <w:r w:rsidR="00826C8E" w:rsidRPr="00826C8E">
          <w:rPr>
            <w:rStyle w:val="Hyperlink"/>
          </w:rPr>
          <w:t>JeffersonCOI@jefferson.edu</w:t>
        </w:r>
      </w:hyperlink>
      <w:r w:rsidR="00826C8E" w:rsidRPr="00826C8E">
        <w:t>.</w:t>
      </w:r>
      <w:r w:rsidRPr="00B33CD4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Please</w:t>
      </w:r>
      <w:r w:rsidRPr="00B33CD4">
        <w:rPr>
          <w:rFonts w:ascii="Times New Roman" w:hAnsi="Times New Roman" w:cs="Times New Roman"/>
          <w:color w:val="0C0C0C"/>
          <w:spacing w:val="-1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use</w:t>
      </w:r>
      <w:r w:rsidRPr="00B33CD4">
        <w:rPr>
          <w:rFonts w:ascii="Times New Roman" w:hAnsi="Times New Roman" w:cs="Times New Roman"/>
          <w:color w:val="0C0C0C"/>
          <w:spacing w:val="-5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the</w:t>
      </w:r>
      <w:r w:rsidRPr="00B33CD4">
        <w:rPr>
          <w:rFonts w:ascii="Times New Roman" w:hAnsi="Times New Roman" w:cs="Times New Roman"/>
          <w:color w:val="0C0C0C"/>
          <w:spacing w:val="-17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subject</w:t>
      </w:r>
      <w:r w:rsidRPr="00B33CD4">
        <w:rPr>
          <w:rFonts w:ascii="Times New Roman" w:hAnsi="Times New Roman" w:cs="Times New Roman"/>
          <w:color w:val="0C0C0C"/>
          <w:spacing w:val="14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color w:val="0C0C0C"/>
          <w:sz w:val="24"/>
          <w:szCs w:val="24"/>
        </w:rPr>
        <w:t>line:</w:t>
      </w:r>
      <w:r w:rsidRPr="00B33CD4">
        <w:rPr>
          <w:rFonts w:ascii="Times New Roman" w:hAnsi="Times New Roman" w:cs="Times New Roman"/>
          <w:color w:val="0C0C0C"/>
          <w:spacing w:val="23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b/>
          <w:bCs/>
          <w:color w:val="0C0C0C"/>
          <w:sz w:val="24"/>
          <w:szCs w:val="24"/>
          <w:u w:val="thick" w:color="000000"/>
        </w:rPr>
        <w:t>Request for Disclosure</w:t>
      </w:r>
      <w:r w:rsidRPr="00B33CD4">
        <w:rPr>
          <w:rFonts w:ascii="Times New Roman" w:hAnsi="Times New Roman" w:cs="Times New Roman"/>
          <w:b/>
          <w:bCs/>
          <w:color w:val="0C0C0C"/>
          <w:spacing w:val="28"/>
          <w:sz w:val="24"/>
          <w:szCs w:val="24"/>
          <w:u w:val="thick" w:color="000000"/>
        </w:rPr>
        <w:t xml:space="preserve"> </w:t>
      </w:r>
      <w:r w:rsidRPr="00B33CD4">
        <w:rPr>
          <w:rFonts w:ascii="Times New Roman" w:hAnsi="Times New Roman" w:cs="Times New Roman"/>
          <w:b/>
          <w:bCs/>
          <w:color w:val="0C0C0C"/>
          <w:sz w:val="24"/>
          <w:szCs w:val="24"/>
          <w:u w:val="thick" w:color="000000"/>
        </w:rPr>
        <w:t>of</w:t>
      </w:r>
      <w:r w:rsidRPr="00B33CD4">
        <w:rPr>
          <w:rFonts w:ascii="Times New Roman" w:hAnsi="Times New Roman" w:cs="Times New Roman"/>
          <w:b/>
          <w:bCs/>
          <w:color w:val="0C0C0C"/>
          <w:sz w:val="24"/>
          <w:szCs w:val="24"/>
        </w:rPr>
        <w:t xml:space="preserve"> </w:t>
      </w:r>
      <w:r w:rsidRPr="00B33CD4">
        <w:rPr>
          <w:rFonts w:ascii="Times New Roman" w:hAnsi="Times New Roman" w:cs="Times New Roman"/>
          <w:b/>
          <w:bCs/>
          <w:color w:val="0C0C0C"/>
          <w:sz w:val="24"/>
          <w:szCs w:val="24"/>
          <w:u w:val="thick" w:color="000000"/>
        </w:rPr>
        <w:t>Financial</w:t>
      </w:r>
      <w:r w:rsidRPr="00B33CD4">
        <w:rPr>
          <w:rFonts w:ascii="Times New Roman" w:hAnsi="Times New Roman" w:cs="Times New Roman"/>
          <w:b/>
          <w:bCs/>
          <w:color w:val="0C0C0C"/>
          <w:spacing w:val="38"/>
          <w:sz w:val="24"/>
          <w:szCs w:val="24"/>
          <w:u w:val="thick" w:color="000000"/>
        </w:rPr>
        <w:t xml:space="preserve"> </w:t>
      </w:r>
      <w:r w:rsidRPr="00B33CD4">
        <w:rPr>
          <w:rFonts w:ascii="Times New Roman" w:hAnsi="Times New Roman" w:cs="Times New Roman"/>
          <w:b/>
          <w:bCs/>
          <w:color w:val="0C0C0C"/>
          <w:sz w:val="24"/>
          <w:szCs w:val="24"/>
          <w:u w:val="thick" w:color="000000"/>
        </w:rPr>
        <w:t>Conflict</w:t>
      </w:r>
      <w:r w:rsidRPr="00B33CD4">
        <w:rPr>
          <w:rFonts w:ascii="Times New Roman" w:hAnsi="Times New Roman" w:cs="Times New Roman"/>
          <w:b/>
          <w:bCs/>
          <w:color w:val="0C0C0C"/>
          <w:spacing w:val="14"/>
          <w:sz w:val="24"/>
          <w:szCs w:val="24"/>
          <w:u w:val="thick" w:color="000000"/>
        </w:rPr>
        <w:t xml:space="preserve"> </w:t>
      </w:r>
      <w:r w:rsidRPr="00B33CD4">
        <w:rPr>
          <w:rFonts w:ascii="Times New Roman" w:hAnsi="Times New Roman" w:cs="Times New Roman"/>
          <w:b/>
          <w:bCs/>
          <w:color w:val="0C0C0C"/>
          <w:sz w:val="24"/>
          <w:szCs w:val="24"/>
          <w:u w:val="thick" w:color="000000"/>
        </w:rPr>
        <w:t>of</w:t>
      </w:r>
      <w:r w:rsidRPr="00B33CD4">
        <w:rPr>
          <w:rFonts w:ascii="Times New Roman" w:hAnsi="Times New Roman" w:cs="Times New Roman"/>
          <w:b/>
          <w:bCs/>
          <w:color w:val="0C0C0C"/>
          <w:spacing w:val="19"/>
          <w:sz w:val="24"/>
          <w:szCs w:val="24"/>
          <w:u w:val="thick" w:color="000000"/>
        </w:rPr>
        <w:t xml:space="preserve"> </w:t>
      </w:r>
      <w:r w:rsidRPr="00B33CD4">
        <w:rPr>
          <w:rFonts w:ascii="Times New Roman" w:hAnsi="Times New Roman" w:cs="Times New Roman"/>
          <w:b/>
          <w:bCs/>
          <w:color w:val="0C0C0C"/>
          <w:sz w:val="24"/>
          <w:szCs w:val="24"/>
          <w:u w:val="thick" w:color="000000"/>
        </w:rPr>
        <w:t>Interest</w:t>
      </w:r>
      <w:r w:rsidRPr="00B33CD4">
        <w:rPr>
          <w:rFonts w:ascii="Times New Roman" w:hAnsi="Times New Roman" w:cs="Times New Roman"/>
          <w:b/>
          <w:bCs/>
          <w:color w:val="0C0C0C"/>
          <w:spacing w:val="32"/>
          <w:sz w:val="24"/>
          <w:szCs w:val="24"/>
          <w:u w:val="thick" w:color="000000"/>
        </w:rPr>
        <w:t xml:space="preserve"> </w:t>
      </w:r>
      <w:r w:rsidRPr="00B33CD4">
        <w:rPr>
          <w:rFonts w:ascii="Times New Roman" w:hAnsi="Times New Roman" w:cs="Times New Roman"/>
          <w:b/>
          <w:bCs/>
          <w:color w:val="0C0C0C"/>
          <w:sz w:val="24"/>
          <w:szCs w:val="24"/>
          <w:u w:val="thick" w:color="000000"/>
        </w:rPr>
        <w:t>Information.</w:t>
      </w:r>
    </w:p>
    <w:p w14:paraId="0F4C9F5F" w14:textId="6259057E" w:rsidR="00A21C93" w:rsidRPr="008B036D" w:rsidRDefault="00A21C93" w:rsidP="008914B8">
      <w:pPr>
        <w:tabs>
          <w:tab w:val="left" w:pos="36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14:paraId="56E00CE2" w14:textId="6C5B20D3" w:rsidR="00FE3420" w:rsidRPr="008B036D" w:rsidRDefault="00FE3420" w:rsidP="008914B8">
      <w:pPr>
        <w:tabs>
          <w:tab w:val="left" w:pos="36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14:paraId="7F073FFA" w14:textId="542E4771" w:rsidR="00FE3420" w:rsidRPr="008B036D" w:rsidRDefault="00FE3420" w:rsidP="008914B8">
      <w:pPr>
        <w:tabs>
          <w:tab w:val="left" w:pos="36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14:paraId="0E778A01" w14:textId="1AF5F493" w:rsidR="00FE3420" w:rsidRPr="008B036D" w:rsidRDefault="00FE3420" w:rsidP="008914B8">
      <w:pPr>
        <w:tabs>
          <w:tab w:val="left" w:pos="36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14:paraId="4C6D8511" w14:textId="3F39F918" w:rsidR="00FE3420" w:rsidRPr="008B036D" w:rsidRDefault="00FE3420" w:rsidP="008B036D">
      <w:pPr>
        <w:tabs>
          <w:tab w:val="left" w:pos="360"/>
        </w:tabs>
        <w:rPr>
          <w:rFonts w:ascii="Times New Roman" w:hAnsi="Times New Roman" w:cs="Times New Roman"/>
          <w:sz w:val="21"/>
          <w:szCs w:val="21"/>
        </w:rPr>
      </w:pPr>
    </w:p>
    <w:p w14:paraId="48ECC571" w14:textId="3E5F4B81" w:rsidR="001A6C57" w:rsidRPr="008B036D" w:rsidRDefault="001A6C57" w:rsidP="008914B8">
      <w:pPr>
        <w:tabs>
          <w:tab w:val="left" w:pos="360"/>
        </w:tabs>
        <w:ind w:firstLine="360"/>
        <w:rPr>
          <w:rFonts w:ascii="Times New Roman" w:hAnsi="Times New Roman" w:cs="Times New Roman"/>
          <w:sz w:val="21"/>
          <w:szCs w:val="21"/>
        </w:rPr>
      </w:pPr>
    </w:p>
    <w:p w14:paraId="68E06A54" w14:textId="045C09E3" w:rsidR="001A6C57" w:rsidRPr="008B036D" w:rsidRDefault="001A6C57" w:rsidP="008914B8">
      <w:pPr>
        <w:tabs>
          <w:tab w:val="left" w:pos="360"/>
        </w:tabs>
        <w:ind w:firstLine="360"/>
        <w:rPr>
          <w:rFonts w:ascii="Times New Roman" w:hAnsi="Times New Roman" w:cs="Times New Roman"/>
          <w:sz w:val="21"/>
          <w:szCs w:val="21"/>
        </w:rPr>
      </w:pPr>
    </w:p>
    <w:p w14:paraId="59F3F61F" w14:textId="7F35E6FD" w:rsidR="001A6C57" w:rsidRPr="008B036D" w:rsidRDefault="001A6C57" w:rsidP="008914B8">
      <w:pPr>
        <w:tabs>
          <w:tab w:val="left" w:pos="360"/>
        </w:tabs>
        <w:ind w:firstLine="360"/>
        <w:rPr>
          <w:rFonts w:ascii="Times New Roman" w:hAnsi="Times New Roman" w:cs="Times New Roman"/>
          <w:sz w:val="21"/>
          <w:szCs w:val="21"/>
        </w:rPr>
      </w:pPr>
    </w:p>
    <w:p w14:paraId="23403041" w14:textId="132DBBB4" w:rsidR="008B036D" w:rsidRPr="00F75E4D" w:rsidRDefault="008B036D" w:rsidP="008B036D">
      <w:pPr>
        <w:tabs>
          <w:tab w:val="left" w:pos="360"/>
        </w:tabs>
        <w:ind w:firstLine="36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 w:rsidR="001A6C57">
        <w:rPr>
          <w:rFonts w:ascii="Trebuchet MS" w:hAnsi="Trebuchet MS"/>
          <w:sz w:val="21"/>
          <w:szCs w:val="21"/>
        </w:rPr>
        <w:tab/>
      </w:r>
      <w:r w:rsidR="001A6C57">
        <w:rPr>
          <w:rFonts w:ascii="Trebuchet MS" w:hAnsi="Trebuchet MS"/>
          <w:sz w:val="21"/>
          <w:szCs w:val="21"/>
        </w:rPr>
        <w:tab/>
      </w:r>
      <w:r w:rsidR="001A6C57">
        <w:rPr>
          <w:rFonts w:ascii="Trebuchet MS" w:hAnsi="Trebuchet MS"/>
          <w:sz w:val="21"/>
          <w:szCs w:val="21"/>
        </w:rPr>
        <w:tab/>
      </w:r>
      <w:r w:rsidR="001A6C57">
        <w:rPr>
          <w:rFonts w:ascii="Trebuchet MS" w:hAnsi="Trebuchet MS"/>
          <w:sz w:val="21"/>
          <w:szCs w:val="21"/>
        </w:rPr>
        <w:tab/>
      </w:r>
      <w:r w:rsidR="001A6C57"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 xml:space="preserve">                     </w:t>
      </w:r>
      <w:r w:rsidR="001A6C57">
        <w:rPr>
          <w:rFonts w:ascii="Trebuchet MS" w:hAnsi="Trebuchet MS"/>
          <w:sz w:val="21"/>
          <w:szCs w:val="21"/>
        </w:rPr>
        <w:t>2 | Page</w:t>
      </w:r>
    </w:p>
    <w:sectPr w:rsidR="008B036D" w:rsidRPr="00F75E4D" w:rsidSect="00AC59D6">
      <w:headerReference w:type="default" r:id="rId14"/>
      <w:type w:val="continuous"/>
      <w:pgSz w:w="12240" w:h="15840"/>
      <w:pgMar w:top="1440" w:right="1440" w:bottom="837" w:left="1656" w:header="0" w:footer="117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AB4C" w14:textId="77777777" w:rsidR="00E3105A" w:rsidRDefault="00E3105A" w:rsidP="00835155">
      <w:r>
        <w:separator/>
      </w:r>
    </w:p>
  </w:endnote>
  <w:endnote w:type="continuationSeparator" w:id="0">
    <w:p w14:paraId="022D9FE7" w14:textId="77777777" w:rsidR="00E3105A" w:rsidRDefault="00E3105A" w:rsidP="008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43A3" w14:textId="77777777" w:rsidR="001A6C57" w:rsidRDefault="001A6C57" w:rsidP="001A6C5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5551" w14:textId="77777777" w:rsidR="00E3105A" w:rsidRDefault="00E3105A" w:rsidP="00835155">
      <w:r>
        <w:separator/>
      </w:r>
    </w:p>
  </w:footnote>
  <w:footnote w:type="continuationSeparator" w:id="0">
    <w:p w14:paraId="50707E29" w14:textId="77777777" w:rsidR="00E3105A" w:rsidRDefault="00E3105A" w:rsidP="0083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39A6" w14:textId="77777777" w:rsidR="00835155" w:rsidRDefault="00397C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79F5B" wp14:editId="6619A12E">
          <wp:simplePos x="0" y="0"/>
          <wp:positionH relativeFrom="column">
            <wp:posOffset>-800735</wp:posOffset>
          </wp:positionH>
          <wp:positionV relativeFrom="paragraph">
            <wp:posOffset>-634510</wp:posOffset>
          </wp:positionV>
          <wp:extent cx="7772285" cy="10058400"/>
          <wp:effectExtent l="0" t="0" r="0" b="0"/>
          <wp:wrapNone/>
          <wp:docPr id="5" name="Picture 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956B" w14:textId="2ED182F8" w:rsidR="00397CAB" w:rsidRDefault="00EF2E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9305E" wp14:editId="4EA13E48">
          <wp:simplePos x="0" y="0"/>
          <wp:positionH relativeFrom="column">
            <wp:posOffset>-740410</wp:posOffset>
          </wp:positionH>
          <wp:positionV relativeFrom="paragraph">
            <wp:posOffset>-717550</wp:posOffset>
          </wp:positionV>
          <wp:extent cx="7771765" cy="1005757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5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1C3">
      <w:rPr>
        <w:noProof/>
      </w:rPr>
      <w:drawing>
        <wp:anchor distT="0" distB="0" distL="114300" distR="114300" simplePos="0" relativeHeight="251660288" behindDoc="1" locked="0" layoutInCell="1" allowOverlap="1" wp14:anchorId="5584E458" wp14:editId="1B9CF7C9">
          <wp:simplePos x="0" y="0"/>
          <wp:positionH relativeFrom="column">
            <wp:posOffset>-812800</wp:posOffset>
          </wp:positionH>
          <wp:positionV relativeFrom="paragraph">
            <wp:posOffset>9262745</wp:posOffset>
          </wp:positionV>
          <wp:extent cx="7771765" cy="10057765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94456" name="Picture 117279445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C204" w14:textId="4E65B1E3" w:rsidR="00FE3420" w:rsidRDefault="00FE3420">
    <w:pPr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8857458" wp14:editId="471A47AC">
          <wp:simplePos x="0" y="0"/>
          <wp:positionH relativeFrom="column">
            <wp:posOffset>-1051560</wp:posOffset>
          </wp:positionH>
          <wp:positionV relativeFrom="paragraph">
            <wp:posOffset>229870</wp:posOffset>
          </wp:positionV>
          <wp:extent cx="7771419" cy="97536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419" cy="97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1CF05" w14:textId="0902E05B" w:rsidR="00E241C3" w:rsidRDefault="00E241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41"/>
    <w:rsid w:val="00005514"/>
    <w:rsid w:val="0005433D"/>
    <w:rsid w:val="00062189"/>
    <w:rsid w:val="00092D30"/>
    <w:rsid w:val="000C357A"/>
    <w:rsid w:val="000E59EA"/>
    <w:rsid w:val="001440D3"/>
    <w:rsid w:val="00177EA8"/>
    <w:rsid w:val="001A6C57"/>
    <w:rsid w:val="001E52FD"/>
    <w:rsid w:val="00200654"/>
    <w:rsid w:val="002344BB"/>
    <w:rsid w:val="00256EBB"/>
    <w:rsid w:val="002B62CD"/>
    <w:rsid w:val="002C615D"/>
    <w:rsid w:val="00344B3A"/>
    <w:rsid w:val="00346715"/>
    <w:rsid w:val="00397CAB"/>
    <w:rsid w:val="003C1A32"/>
    <w:rsid w:val="003D129B"/>
    <w:rsid w:val="003F4C78"/>
    <w:rsid w:val="00497424"/>
    <w:rsid w:val="004B0F12"/>
    <w:rsid w:val="00545E2C"/>
    <w:rsid w:val="0058121A"/>
    <w:rsid w:val="005E5DE7"/>
    <w:rsid w:val="00674AD6"/>
    <w:rsid w:val="006E79F8"/>
    <w:rsid w:val="007011E0"/>
    <w:rsid w:val="0070396A"/>
    <w:rsid w:val="00731914"/>
    <w:rsid w:val="007444DD"/>
    <w:rsid w:val="007544ED"/>
    <w:rsid w:val="007A5741"/>
    <w:rsid w:val="007C3E45"/>
    <w:rsid w:val="007F2F81"/>
    <w:rsid w:val="00826C8E"/>
    <w:rsid w:val="00835155"/>
    <w:rsid w:val="0086529A"/>
    <w:rsid w:val="008914B8"/>
    <w:rsid w:val="00893CA5"/>
    <w:rsid w:val="008A6455"/>
    <w:rsid w:val="008B036D"/>
    <w:rsid w:val="009722DE"/>
    <w:rsid w:val="009873B7"/>
    <w:rsid w:val="009A12E0"/>
    <w:rsid w:val="00A21C93"/>
    <w:rsid w:val="00A350F0"/>
    <w:rsid w:val="00A47DDE"/>
    <w:rsid w:val="00A62FB1"/>
    <w:rsid w:val="00A925E9"/>
    <w:rsid w:val="00AC59D6"/>
    <w:rsid w:val="00B30052"/>
    <w:rsid w:val="00B33CD4"/>
    <w:rsid w:val="00B73B29"/>
    <w:rsid w:val="00B74F63"/>
    <w:rsid w:val="00B864D3"/>
    <w:rsid w:val="00BA66D7"/>
    <w:rsid w:val="00BB516B"/>
    <w:rsid w:val="00C113C9"/>
    <w:rsid w:val="00C454FF"/>
    <w:rsid w:val="00C56D42"/>
    <w:rsid w:val="00CD02E2"/>
    <w:rsid w:val="00D034B3"/>
    <w:rsid w:val="00D200F4"/>
    <w:rsid w:val="00D8581F"/>
    <w:rsid w:val="00DA273C"/>
    <w:rsid w:val="00DC4635"/>
    <w:rsid w:val="00E241C3"/>
    <w:rsid w:val="00E3105A"/>
    <w:rsid w:val="00E740A9"/>
    <w:rsid w:val="00E8105C"/>
    <w:rsid w:val="00EB3958"/>
    <w:rsid w:val="00EF2EA0"/>
    <w:rsid w:val="00F44C1C"/>
    <w:rsid w:val="00F75E4D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CCF82"/>
  <w14:defaultImageDpi w14:val="300"/>
  <w15:docId w15:val="{85229EA8-0001-114F-9B2B-B4A37CCF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1F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81F"/>
    <w:pPr>
      <w:keepNext/>
      <w:keepLines/>
      <w:spacing w:before="480"/>
      <w:outlineLvl w:val="0"/>
    </w:pPr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581F"/>
    <w:pPr>
      <w:spacing w:before="200"/>
      <w:outlineLvl w:val="1"/>
    </w:pPr>
    <w:rPr>
      <w:rFonts w:asciiTheme="majorHAnsi" w:hAnsiTheme="majorHAns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81F"/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="Georgia" w:hAnsi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81"/>
    <w:rPr>
      <w:color w:val="0000FF" w:themeColor="hyperlink"/>
      <w:u w:val="single"/>
    </w:rPr>
  </w:style>
  <w:style w:type="paragraph" w:customStyle="1" w:styleId="TitleofEvent">
    <w:name w:val="Title of Event"/>
    <w:basedOn w:val="Normal"/>
    <w:qFormat/>
    <w:rsid w:val="003D129B"/>
    <w:rPr>
      <w:b/>
      <w:color w:val="5BB8DD"/>
      <w:sz w:val="96"/>
      <w:szCs w:val="96"/>
    </w:rPr>
  </w:style>
  <w:style w:type="paragraph" w:customStyle="1" w:styleId="DeptProgramDateTimeLocation">
    <w:name w:val="Dept/Program/Date/Time/Location"/>
    <w:basedOn w:val="Normal"/>
    <w:qFormat/>
    <w:rsid w:val="003D129B"/>
    <w:rPr>
      <w:rFonts w:ascii="Trebuchet MS" w:hAnsi="Trebuchet MS"/>
      <w:b/>
      <w:bCs/>
      <w:color w:val="000000" w:themeColor="text1"/>
      <w:sz w:val="36"/>
      <w:szCs w:val="36"/>
    </w:rPr>
  </w:style>
  <w:style w:type="paragraph" w:customStyle="1" w:styleId="BodyCopy">
    <w:name w:val="Body Copy"/>
    <w:basedOn w:val="Normal"/>
    <w:qFormat/>
    <w:rsid w:val="003D129B"/>
    <w:rPr>
      <w:rFonts w:ascii="Trebuchet MS" w:hAnsi="Trebuchet MS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8914B8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B33CD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33CD4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33C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3CD4"/>
    <w:rPr>
      <w:rFonts w:ascii="Georgia" w:hAnsi="Georg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33CD4"/>
    <w:pPr>
      <w:autoSpaceDE w:val="0"/>
      <w:autoSpaceDN w:val="0"/>
      <w:adjustRightInd w:val="0"/>
      <w:ind w:left="116"/>
    </w:pPr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B036D"/>
    <w:pPr>
      <w:spacing w:before="240" w:line="259" w:lineRule="auto"/>
      <w:outlineLvl w:val="9"/>
    </w:pPr>
    <w:rPr>
      <w:rFonts w:asciiTheme="majorHAnsi" w:hAnsiTheme="majorHAnsi"/>
      <w:bCs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826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ffersonCOI@jefferson.ed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jefferson.edu/counsel/conflicts-of-interest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8b77d-333c-4229-a2be-fc1187e63781">
      <Terms xmlns="http://schemas.microsoft.com/office/infopath/2007/PartnerControls"/>
    </lcf76f155ced4ddcb4097134ff3c332f>
    <TaxCatchAll xmlns="20c4e733-949e-4e06-840a-e38e8ffe47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4174B1FA1454188D1BFCFC7ED8483" ma:contentTypeVersion="14" ma:contentTypeDescription="Create a new document." ma:contentTypeScope="" ma:versionID="f23d7f13c6b9ce9eca673a2ed94fb26e">
  <xsd:schema xmlns:xsd="http://www.w3.org/2001/XMLSchema" xmlns:xs="http://www.w3.org/2001/XMLSchema" xmlns:p="http://schemas.microsoft.com/office/2006/metadata/properties" xmlns:ns2="0f28b77d-333c-4229-a2be-fc1187e63781" xmlns:ns3="20c4e733-949e-4e06-840a-e38e8ffe4743" targetNamespace="http://schemas.microsoft.com/office/2006/metadata/properties" ma:root="true" ma:fieldsID="516e967c2e2a1b5ec5955f3388dfbb5f" ns2:_="" ns3:_="">
    <xsd:import namespace="0f28b77d-333c-4229-a2be-fc1187e63781"/>
    <xsd:import namespace="20c4e733-949e-4e06-840a-e38e8ffe4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8b77d-333c-4229-a2be-fc1187e63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4e733-949e-4e06-840a-e38e8ffe474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59ccb6-0548-44a4-8a93-af234d2390ed}" ma:internalName="TaxCatchAll" ma:showField="CatchAllData" ma:web="20c4e733-949e-4e06-840a-e38e8ffe4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6DC80-9BFB-4162-BA82-4BCFE8A4FF21}">
  <ds:schemaRefs>
    <ds:schemaRef ds:uri="http://schemas.microsoft.com/office/2006/metadata/properties"/>
    <ds:schemaRef ds:uri="http://schemas.microsoft.com/office/infopath/2007/PartnerControls"/>
    <ds:schemaRef ds:uri="0f28b77d-333c-4229-a2be-fc1187e63781"/>
    <ds:schemaRef ds:uri="20c4e733-949e-4e06-840a-e38e8ffe4743"/>
  </ds:schemaRefs>
</ds:datastoreItem>
</file>

<file path=customXml/itemProps2.xml><?xml version="1.0" encoding="utf-8"?>
<ds:datastoreItem xmlns:ds="http://schemas.openxmlformats.org/officeDocument/2006/customXml" ds:itemID="{8422B234-B073-44E0-B791-00E76DFE9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960DC-DE73-4E2E-B3F8-1BF26E4E6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8b77d-333c-4229-a2be-fc1187e63781"/>
    <ds:schemaRef ds:uri="20c4e733-949e-4e06-840a-e38e8ffe4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Brand Management</dc:creator>
  <cp:keywords/>
  <dc:description/>
  <cp:lastModifiedBy>Kimberly Erskine</cp:lastModifiedBy>
  <cp:revision>3</cp:revision>
  <cp:lastPrinted>2024-01-19T19:10:00Z</cp:lastPrinted>
  <dcterms:created xsi:type="dcterms:W3CDTF">2025-03-18T23:22:00Z</dcterms:created>
  <dcterms:modified xsi:type="dcterms:W3CDTF">2025-03-18T23:26:00Z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0d9f57022c3837a5d72411671d1ee820a514114c4e3cc3748e28304611a9c21f</vt:lpwstr>
  </property>
  <property fmtid="{D5CDD505-2E9C-101B-9397-08002B2CF9AE}" pid="3" name="ContentTypeId">
    <vt:lpwstr>0x01010077B4174B1FA1454188D1BFCFC7ED8483</vt:lpwstr>
  </property>
</Properties>
</file>